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3A6D9A85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6A49">
        <w:rPr>
          <w:rFonts w:cs="Arial" w:hint="eastAsia"/>
          <w:noProof w:val="0"/>
          <w:sz w:val="24"/>
          <w:szCs w:val="24"/>
          <w:lang w:eastAsia="ko-KR"/>
        </w:rPr>
        <w:t>131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36A49">
        <w:rPr>
          <w:rFonts w:cs="Arial" w:hint="eastAsia"/>
          <w:bCs/>
          <w:noProof w:val="0"/>
          <w:sz w:val="24"/>
          <w:lang w:eastAsia="ko-KR"/>
        </w:rPr>
        <w:t>6</w:t>
      </w:r>
      <w:r w:rsidR="00E567B5">
        <w:rPr>
          <w:rFonts w:cs="Arial"/>
          <w:bCs/>
          <w:noProof w:val="0"/>
          <w:sz w:val="24"/>
          <w:lang w:eastAsia="ko-KR"/>
        </w:rPr>
        <w:t>0136</w:t>
      </w:r>
    </w:p>
    <w:p w14:paraId="2266138A" w14:textId="77777777" w:rsidR="00697F81" w:rsidRDefault="00697F81" w:rsidP="00697F81">
      <w:pPr>
        <w:pStyle w:val="CRCoverPage"/>
        <w:rPr>
          <w:b/>
          <w:noProof/>
          <w:sz w:val="24"/>
        </w:rPr>
      </w:pPr>
      <w:bookmarkStart w:id="2" w:name="_Hlk19781143"/>
      <w:r w:rsidRPr="00206360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Sweden, 9 – 13 February 2026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A8C5944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036A49">
        <w:t>10.3.2.2</w:t>
      </w:r>
    </w:p>
    <w:p w14:paraId="778AB5AF" w14:textId="45EF1786" w:rsidR="005F436C" w:rsidRDefault="005F436C" w:rsidP="005F436C">
      <w:pPr>
        <w:pStyle w:val="af1"/>
        <w:rPr>
          <w:lang w:eastAsia="ja-JP"/>
        </w:rPr>
      </w:pPr>
      <w:r>
        <w:t>Source:</w:t>
      </w:r>
      <w:r>
        <w:tab/>
      </w:r>
      <w:r w:rsidR="00036A49">
        <w:t>Seoul National University</w:t>
      </w:r>
    </w:p>
    <w:p w14:paraId="1F68FE86" w14:textId="44800A4D" w:rsidR="005F436C" w:rsidRPr="00B50379" w:rsidRDefault="005F436C" w:rsidP="009A1081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36A49">
        <w:t xml:space="preserve">Discussion on </w:t>
      </w:r>
      <w:r w:rsidR="00036A49">
        <w:rPr>
          <w:lang w:eastAsia="ko-KR"/>
        </w:rPr>
        <w:t>Service Based Interface (SBI)</w:t>
      </w:r>
    </w:p>
    <w:p w14:paraId="19F92F93" w14:textId="07B866EC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  <w:t>Discussions</w:t>
      </w:r>
    </w:p>
    <w:p w14:paraId="07A2EC87" w14:textId="77777777" w:rsidR="00EE0733" w:rsidRDefault="00EE0733" w:rsidP="00EE0733">
      <w:pPr>
        <w:pStyle w:val="1"/>
        <w:rPr>
          <w:rFonts w:cs="Arial" w:hint="eastAsia"/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EBD6B94" w14:textId="39039D9B" w:rsidR="00F85FCD" w:rsidRDefault="002F010B" w:rsidP="009D6C35">
      <w:pPr>
        <w:rPr>
          <w:lang w:eastAsia="ko-KR"/>
        </w:rPr>
      </w:pPr>
      <w:r w:rsidRPr="002F010B">
        <w:rPr>
          <w:lang w:eastAsia="ko-KR"/>
        </w:rPr>
        <w:t>Discussions at RAN3#130</w:t>
      </w:r>
      <w:r w:rsidR="00B072AB">
        <w:rPr>
          <w:lang w:eastAsia="ko-KR"/>
        </w:rPr>
        <w:t xml:space="preserve"> [1]</w:t>
      </w:r>
      <w:r w:rsidRPr="002F010B">
        <w:rPr>
          <w:lang w:eastAsia="ko-KR"/>
        </w:rPr>
        <w:t xml:space="preserve"> addressed the architectural options for the 6G RAN-CN interface. As 6G evolves into a multi-service platform supporting AI/ML, </w:t>
      </w:r>
      <w:r w:rsidRPr="002F010B">
        <w:t>Integrated Sensing and Communication</w:t>
      </w:r>
      <w:r w:rsidRPr="002F010B"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 w:rsidRPr="002F010B">
        <w:rPr>
          <w:lang w:eastAsia="ko-KR"/>
        </w:rPr>
        <w:t>ISAC</w:t>
      </w:r>
      <w:r>
        <w:rPr>
          <w:rFonts w:hint="eastAsia"/>
          <w:lang w:eastAsia="ko-KR"/>
        </w:rPr>
        <w:t>)</w:t>
      </w:r>
      <w:r w:rsidRPr="002F010B">
        <w:rPr>
          <w:lang w:eastAsia="ko-KR"/>
        </w:rPr>
        <w:t xml:space="preserve">, and cloud-native deployments, architectural requirements are fundamentally shifting. These services necessitate RAN interactions with diverse Core Network Functions (NFs) beyond traditional AMF anchoring. Consequently, this contribution discusses the necessity of a Service Based Interface (SBI) for the 6G RAN-CN Control Plane to ensure scalability and flexibility. Furthermore, </w:t>
      </w:r>
      <w:r>
        <w:rPr>
          <w:lang w:val="en-US" w:eastAsia="ko-KR"/>
        </w:rPr>
        <w:t xml:space="preserve">this contribution </w:t>
      </w:r>
      <w:r w:rsidRPr="002F010B">
        <w:rPr>
          <w:lang w:eastAsia="ko-KR"/>
        </w:rPr>
        <w:t>proposes investigating transport layer optimizations to guarantee that SBI meets the stringent performance requirements of the RAN.</w:t>
      </w:r>
    </w:p>
    <w:p w14:paraId="6D2F74E1" w14:textId="77777777" w:rsidR="009D6C35" w:rsidRPr="009D6C35" w:rsidRDefault="009D6C35" w:rsidP="009D6C35">
      <w:pPr>
        <w:rPr>
          <w:lang w:eastAsia="ko-KR"/>
        </w:rPr>
      </w:pPr>
    </w:p>
    <w:p w14:paraId="1B565D68" w14:textId="69536E1F" w:rsidR="00F85FCD" w:rsidRDefault="00F85FCD" w:rsidP="00F85FCD">
      <w:pPr>
        <w:pStyle w:val="1"/>
        <w:rPr>
          <w:rFonts w:cs="Arial"/>
        </w:rPr>
      </w:pPr>
      <w:r>
        <w:rPr>
          <w:rFonts w:cs="Arial" w:hint="eastAsia"/>
          <w:lang w:eastAsia="ko-KR"/>
        </w:rPr>
        <w:t>2</w:t>
      </w:r>
      <w:r>
        <w:rPr>
          <w:rFonts w:cs="Arial"/>
        </w:rPr>
        <w:tab/>
      </w:r>
      <w:r>
        <w:rPr>
          <w:rFonts w:cs="Arial"/>
          <w:lang w:val="en-US" w:eastAsia="ko-KR"/>
        </w:rPr>
        <w:t>Discussion</w:t>
      </w:r>
    </w:p>
    <w:p w14:paraId="7C36A939" w14:textId="4470BB13" w:rsidR="00F85FCD" w:rsidRDefault="00F85FCD" w:rsidP="00F85FCD">
      <w:pPr>
        <w:pStyle w:val="2"/>
        <w:rPr>
          <w:lang w:val="en-US" w:eastAsia="ko-KR"/>
        </w:rPr>
      </w:pPr>
      <w:r w:rsidRPr="00F85FCD">
        <w:rPr>
          <w:lang w:val="en-US" w:eastAsia="ko-KR"/>
        </w:rPr>
        <w:t xml:space="preserve">2.1 </w:t>
      </w:r>
      <w:r w:rsidR="002F010B" w:rsidRPr="002F010B">
        <w:rPr>
          <w:lang w:val="en-US" w:eastAsia="ko-KR"/>
        </w:rPr>
        <w:t>SBI: The Choice for 6G Service Diversity</w:t>
      </w:r>
    </w:p>
    <w:p w14:paraId="34C95E59" w14:textId="16E24628" w:rsidR="001A2161" w:rsidRDefault="001A2161" w:rsidP="002F010B">
      <w:pPr>
        <w:rPr>
          <w:lang w:val="en-US" w:eastAsia="ko-KR"/>
        </w:rPr>
      </w:pPr>
      <w:r w:rsidRPr="001A2161">
        <w:rPr>
          <w:lang w:val="en-US" w:eastAsia="ko-KR"/>
        </w:rPr>
        <w:t>Unlike previous generations, 6G introduces data-centric services that require the RAN to interact dynamically with various Core Network Functions (NFs). Implementing a Service-Based Interface (SBI) offers several key advantages:</w:t>
      </w:r>
    </w:p>
    <w:p w14:paraId="22543EC2" w14:textId="3EE89178" w:rsidR="001A2161" w:rsidRDefault="001A2161" w:rsidP="002A3379">
      <w:pPr>
        <w:pStyle w:val="af5"/>
        <w:numPr>
          <w:ilvl w:val="0"/>
          <w:numId w:val="21"/>
        </w:numPr>
        <w:ind w:leftChars="0" w:left="799" w:hanging="357"/>
        <w:rPr>
          <w:lang w:val="en-US" w:eastAsia="ko-KR"/>
        </w:rPr>
      </w:pPr>
      <w:r w:rsidRPr="001A2161">
        <w:rPr>
          <w:lang w:val="en-US" w:eastAsia="ko-KR"/>
        </w:rPr>
        <w:t xml:space="preserve">Scalability and </w:t>
      </w:r>
      <w:r w:rsidR="00544FE7">
        <w:rPr>
          <w:lang w:val="en-US" w:eastAsia="ko-KR"/>
        </w:rPr>
        <w:t>f</w:t>
      </w:r>
      <w:r w:rsidRPr="001A2161">
        <w:rPr>
          <w:lang w:val="en-US" w:eastAsia="ko-KR"/>
        </w:rPr>
        <w:t xml:space="preserve">lexibility: SBI provides an architectural modularity that traditional P2P interfaces lack. As 6G Core functions—such as AI/ML management and Sensing analytics—evolve into microservices, an SBI framework allows the </w:t>
      </w:r>
      <w:proofErr w:type="spellStart"/>
      <w:r w:rsidRPr="001A2161">
        <w:rPr>
          <w:lang w:val="en-US" w:eastAsia="ko-KR"/>
        </w:rPr>
        <w:t>gNB</w:t>
      </w:r>
      <w:proofErr w:type="spellEnd"/>
      <w:r w:rsidRPr="001A2161">
        <w:rPr>
          <w:lang w:val="en-US" w:eastAsia="ko-KR"/>
        </w:rPr>
        <w:t xml:space="preserve"> to discover and consume these services on-demand, eliminating the need for rigid, manual configurations.</w:t>
      </w:r>
    </w:p>
    <w:p w14:paraId="2B2E2367" w14:textId="7CBA84FB" w:rsidR="00544FE7" w:rsidRDefault="00544FE7" w:rsidP="002A3379">
      <w:pPr>
        <w:pStyle w:val="af5"/>
        <w:numPr>
          <w:ilvl w:val="0"/>
          <w:numId w:val="21"/>
        </w:numPr>
        <w:ind w:leftChars="0" w:left="799" w:hanging="357"/>
        <w:rPr>
          <w:lang w:val="en-US" w:eastAsia="ko-KR"/>
        </w:rPr>
      </w:pPr>
      <w:r w:rsidRPr="00544FE7">
        <w:rPr>
          <w:lang w:val="en-US" w:eastAsia="ko-KR"/>
        </w:rPr>
        <w:t xml:space="preserve">Support for </w:t>
      </w:r>
      <w:r>
        <w:rPr>
          <w:lang w:val="en-US" w:eastAsia="ko-KR"/>
        </w:rPr>
        <w:t>e</w:t>
      </w:r>
      <w:r w:rsidRPr="00544FE7">
        <w:rPr>
          <w:lang w:val="en-US" w:eastAsia="ko-KR"/>
        </w:rPr>
        <w:t xml:space="preserve">merging </w:t>
      </w:r>
      <w:r>
        <w:rPr>
          <w:lang w:val="en-US" w:eastAsia="ko-KR"/>
        </w:rPr>
        <w:t>s</w:t>
      </w:r>
      <w:r w:rsidRPr="00544FE7">
        <w:rPr>
          <w:lang w:val="en-US" w:eastAsia="ko-KR"/>
        </w:rPr>
        <w:t>ervices: 6G services like AI-native networking and ISAC involve highly variable data patterns, ranging from lightweight inference requests to massive model transfers. Built on HTTP/2 or HTTP/3, SBI natively supports these diverse payloads and dynamic binding, outperforming P2P in facilitating complex 6G use cases.</w:t>
      </w:r>
    </w:p>
    <w:p w14:paraId="1D1CDB70" w14:textId="136B09BD" w:rsidR="00544FE7" w:rsidRPr="001A2161" w:rsidRDefault="00544FE7" w:rsidP="002A3379">
      <w:pPr>
        <w:pStyle w:val="af5"/>
        <w:numPr>
          <w:ilvl w:val="0"/>
          <w:numId w:val="21"/>
        </w:numPr>
        <w:ind w:leftChars="0"/>
        <w:rPr>
          <w:lang w:val="en-US" w:eastAsia="ko-KR"/>
        </w:rPr>
      </w:pPr>
      <w:r w:rsidRPr="00544FE7">
        <w:rPr>
          <w:lang w:val="en-US" w:eastAsia="ko-KR"/>
        </w:rPr>
        <w:t>Cloud-</w:t>
      </w:r>
      <w:r>
        <w:rPr>
          <w:lang w:val="en-US" w:eastAsia="ko-KR"/>
        </w:rPr>
        <w:t>n</w:t>
      </w:r>
      <w:r w:rsidRPr="00544FE7">
        <w:rPr>
          <w:lang w:val="en-US" w:eastAsia="ko-KR"/>
        </w:rPr>
        <w:t xml:space="preserve">ative </w:t>
      </w:r>
      <w:r>
        <w:rPr>
          <w:lang w:val="en-US" w:eastAsia="ko-KR"/>
        </w:rPr>
        <w:t>a</w:t>
      </w:r>
      <w:r w:rsidRPr="00544FE7">
        <w:rPr>
          <w:lang w:val="en-US" w:eastAsia="ko-KR"/>
        </w:rPr>
        <w:t>lignment: Adopting SBI aligns the RAN with modern cloud-native trends. This transition ensures seamless integration with virtualized platforms and enables automated orchestration across the entire network fabric.</w:t>
      </w:r>
    </w:p>
    <w:p w14:paraId="73B2EF38" w14:textId="4D8D69EA" w:rsidR="002F010B" w:rsidRDefault="00544FE7" w:rsidP="00544FE7">
      <w:pPr>
        <w:rPr>
          <w:lang w:val="en-US" w:eastAsia="ko-KR"/>
        </w:rPr>
      </w:pPr>
      <w:r>
        <w:rPr>
          <w:lang w:val="en-US" w:eastAsia="ko-KR"/>
        </w:rPr>
        <w:t>Based on these advantages, we derive the following proposal:</w:t>
      </w:r>
    </w:p>
    <w:p w14:paraId="47A6078C" w14:textId="690F36DB" w:rsidR="00E618CA" w:rsidRDefault="001A2161" w:rsidP="009D6C35">
      <w:pPr>
        <w:ind w:left="1000" w:hangingChars="500" w:hanging="1000"/>
        <w:rPr>
          <w:b/>
          <w:bCs/>
          <w:lang w:val="en-US" w:eastAsia="ko-KR"/>
        </w:rPr>
      </w:pPr>
      <w:r w:rsidRPr="00544FE7">
        <w:rPr>
          <w:b/>
          <w:bCs/>
          <w:lang w:val="en-US" w:eastAsia="ko-KR"/>
        </w:rPr>
        <w:t xml:space="preserve">Proposal 1: RAN3 should consider SBI as a </w:t>
      </w:r>
      <w:r w:rsidR="00E618CA">
        <w:rPr>
          <w:b/>
          <w:bCs/>
          <w:lang w:val="en-US" w:eastAsia="ko-KR"/>
        </w:rPr>
        <w:t>key</w:t>
      </w:r>
      <w:r w:rsidRPr="00544FE7">
        <w:rPr>
          <w:b/>
          <w:bCs/>
          <w:lang w:val="en-US" w:eastAsia="ko-KR"/>
        </w:rPr>
        <w:t xml:space="preserve"> enabler for 6G RAN-CN</w:t>
      </w:r>
      <w:r w:rsidR="00544FE7" w:rsidRPr="00544FE7">
        <w:rPr>
          <w:b/>
          <w:bCs/>
          <w:lang w:val="en-US" w:eastAsia="ko-KR"/>
        </w:rPr>
        <w:t xml:space="preserve"> interface</w:t>
      </w:r>
      <w:r w:rsidRPr="00544FE7">
        <w:rPr>
          <w:b/>
          <w:bCs/>
          <w:lang w:val="en-US" w:eastAsia="ko-KR"/>
        </w:rPr>
        <w:t xml:space="preserve"> to support flexible interaction with evolved CN functions (e.g., AI/ML, Sensing) and</w:t>
      </w:r>
      <w:r w:rsidR="00544FE7" w:rsidRPr="00544FE7">
        <w:rPr>
          <w:b/>
          <w:bCs/>
          <w:lang w:val="en-US" w:eastAsia="ko-KR"/>
        </w:rPr>
        <w:t xml:space="preserve"> compatibility with</w:t>
      </w:r>
      <w:r w:rsidRPr="00544FE7">
        <w:rPr>
          <w:b/>
          <w:bCs/>
          <w:lang w:val="en-US" w:eastAsia="ko-KR"/>
        </w:rPr>
        <w:t xml:space="preserve"> cloud-native deployments.</w:t>
      </w:r>
    </w:p>
    <w:p w14:paraId="369BBC5B" w14:textId="77777777" w:rsidR="009D6C35" w:rsidRPr="009D6C35" w:rsidRDefault="009D6C35" w:rsidP="009D6C35">
      <w:pPr>
        <w:ind w:left="1000" w:hangingChars="500" w:hanging="1000"/>
        <w:rPr>
          <w:b/>
          <w:bCs/>
          <w:lang w:val="en-US" w:eastAsia="ko-KR"/>
        </w:rPr>
      </w:pPr>
    </w:p>
    <w:p w14:paraId="59921FB4" w14:textId="77777777" w:rsidR="002F010B" w:rsidRDefault="002F010B" w:rsidP="002F010B">
      <w:pPr>
        <w:pStyle w:val="2"/>
        <w:rPr>
          <w:lang w:val="en-US" w:eastAsia="ko-KR"/>
        </w:rPr>
      </w:pPr>
      <w:r w:rsidRPr="002F010B">
        <w:rPr>
          <w:lang w:val="en-US" w:eastAsia="ko-KR"/>
        </w:rPr>
        <w:t>2.2 Bridging the Gap: Transport Layer Optimization</w:t>
      </w:r>
    </w:p>
    <w:p w14:paraId="0563D1CA" w14:textId="6F9FF117" w:rsidR="0083282C" w:rsidRDefault="0083282C" w:rsidP="002F010B">
      <w:pPr>
        <w:rPr>
          <w:lang w:val="en-US" w:eastAsia="ko-KR"/>
        </w:rPr>
      </w:pPr>
      <w:r w:rsidRPr="0083282C">
        <w:rPr>
          <w:lang w:val="en-US" w:eastAsia="ko-KR"/>
        </w:rPr>
        <w:t>While SBI is architecturally superior, adopting web-based transport protocols (e.g., TCP or QUIC) for the RAN Control Plane requires careful adaptation to match the stability of legacy interfaces.</w:t>
      </w:r>
    </w:p>
    <w:p w14:paraId="2D599E98" w14:textId="689E2D1F" w:rsidR="009D6C35" w:rsidRDefault="009D6C35" w:rsidP="009D6C35">
      <w:pPr>
        <w:pStyle w:val="af5"/>
        <w:numPr>
          <w:ilvl w:val="0"/>
          <w:numId w:val="21"/>
        </w:numPr>
        <w:ind w:leftChars="0"/>
        <w:rPr>
          <w:lang w:val="en-US" w:eastAsia="ko-KR"/>
        </w:rPr>
      </w:pPr>
      <w:r w:rsidRPr="009D6C35">
        <w:rPr>
          <w:lang w:val="en-US" w:eastAsia="ko-KR"/>
        </w:rPr>
        <w:lastRenderedPageBreak/>
        <w:t xml:space="preserve">Adaptation to RAN </w:t>
      </w:r>
      <w:r>
        <w:rPr>
          <w:lang w:val="en-US" w:eastAsia="ko-KR"/>
        </w:rPr>
        <w:t>s</w:t>
      </w:r>
      <w:r w:rsidRPr="009D6C35">
        <w:rPr>
          <w:lang w:val="en-US" w:eastAsia="ko-KR"/>
        </w:rPr>
        <w:t xml:space="preserve">cheduling: General-purpose congestion control algorithms in TCP/QUIC are optimized for wired networks. In a cellular environment, scheduling delays or radio link fluctuations can be misinterpreted as network congestion, leading to unnecessary window back-offs. </w:t>
      </w:r>
      <w:r w:rsidR="00DB7E55" w:rsidRPr="00DB7E55">
        <w:rPr>
          <w:lang w:val="en-US" w:eastAsia="ko-KR"/>
        </w:rPr>
        <w:t>To fully leverage SBI, the transport layer should consider the impact on user traffic due to control-plane overhead over the RAN–CN interface, including RAN scheduling delays and latency caused by wireless link conditions.</w:t>
      </w:r>
    </w:p>
    <w:p w14:paraId="53EC422E" w14:textId="324453B9" w:rsidR="009D6C35" w:rsidRPr="009D6C35" w:rsidRDefault="009D6C35" w:rsidP="009D6C35">
      <w:pPr>
        <w:pStyle w:val="af5"/>
        <w:numPr>
          <w:ilvl w:val="0"/>
          <w:numId w:val="21"/>
        </w:numPr>
        <w:ind w:leftChars="0"/>
        <w:rPr>
          <w:lang w:val="en-US" w:eastAsia="ko-KR"/>
        </w:rPr>
      </w:pPr>
      <w:r w:rsidRPr="009D6C35">
        <w:rPr>
          <w:lang w:val="en-US" w:eastAsia="ko-KR"/>
        </w:rPr>
        <w:t xml:space="preserve">Optimizing </w:t>
      </w:r>
      <w:r>
        <w:rPr>
          <w:lang w:val="en-US" w:eastAsia="ko-KR"/>
        </w:rPr>
        <w:t>s</w:t>
      </w:r>
      <w:r w:rsidRPr="009D6C35">
        <w:rPr>
          <w:lang w:val="en-US" w:eastAsia="ko-KR"/>
        </w:rPr>
        <w:t xml:space="preserve">tart-up </w:t>
      </w:r>
      <w:r>
        <w:rPr>
          <w:lang w:val="en-US" w:eastAsia="ko-KR"/>
        </w:rPr>
        <w:t>l</w:t>
      </w:r>
      <w:r w:rsidRPr="009D6C35">
        <w:rPr>
          <w:lang w:val="en-US" w:eastAsia="ko-KR"/>
        </w:rPr>
        <w:t>atency: Control Plane signaling is typically characterized by bursty, short-lived transactions. Standard "Slow-Start" mechanisms may introduce unacceptable initial latency. Optimizing this startup phase</w:t>
      </w:r>
      <w:r>
        <w:rPr>
          <w:lang w:val="en-US" w:eastAsia="ko-KR"/>
        </w:rPr>
        <w:t xml:space="preserve"> </w:t>
      </w:r>
      <w:r w:rsidRPr="009D6C35">
        <w:rPr>
          <w:lang w:val="en-US" w:eastAsia="ko-KR"/>
        </w:rPr>
        <w:t>is essential to ensure SBI-based signaling achieves the responsiveness of legacy SCTP-based interfaces.</w:t>
      </w:r>
    </w:p>
    <w:p w14:paraId="1FCB5B37" w14:textId="1537C22E" w:rsidR="009D6C35" w:rsidRDefault="009D6C35" w:rsidP="002F010B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proofErr w:type="gramStart"/>
      <w:r>
        <w:rPr>
          <w:lang w:val="en-US" w:eastAsia="ko-KR"/>
        </w:rPr>
        <w:t>aforementioned requirements</w:t>
      </w:r>
      <w:proofErr w:type="gramEnd"/>
      <w:r>
        <w:rPr>
          <w:lang w:val="en-US" w:eastAsia="ko-KR"/>
        </w:rPr>
        <w:t>, we derive the following proposal:</w:t>
      </w:r>
    </w:p>
    <w:p w14:paraId="0CAF6ACA" w14:textId="1721139D" w:rsidR="009D6C35" w:rsidRDefault="009D6C35" w:rsidP="009D6C35">
      <w:pPr>
        <w:ind w:left="1000" w:hangingChars="500" w:hanging="1000"/>
        <w:rPr>
          <w:b/>
          <w:bCs/>
          <w:lang w:val="en-US" w:eastAsia="ko-KR"/>
        </w:rPr>
      </w:pPr>
      <w:r w:rsidRPr="009D6C35">
        <w:rPr>
          <w:b/>
          <w:bCs/>
          <w:lang w:val="en-US" w:eastAsia="ko-KR"/>
        </w:rPr>
        <w:t>Proposal 2: To ensure SBI meets RAN performance requirements, RAN3 should study transport layer optimizations (e.g., adaptation to scheduling delays, optimized start-up behavior) for the underlying protocols (e.g., TCP, QUIC).</w:t>
      </w:r>
    </w:p>
    <w:p w14:paraId="69B6CE28" w14:textId="77777777" w:rsidR="00B072AB" w:rsidRPr="009D6C35" w:rsidRDefault="00B072AB" w:rsidP="009D6C35">
      <w:pPr>
        <w:ind w:left="1000" w:hangingChars="500" w:hanging="1000"/>
        <w:rPr>
          <w:b/>
          <w:bCs/>
          <w:lang w:val="en-US" w:eastAsia="ko-KR"/>
        </w:rPr>
      </w:pPr>
    </w:p>
    <w:p w14:paraId="05574B74" w14:textId="7A815A98" w:rsidR="002F010B" w:rsidRDefault="002F010B" w:rsidP="002F010B">
      <w:pPr>
        <w:pStyle w:val="1"/>
        <w:rPr>
          <w:lang w:val="en-US" w:eastAsia="ko-KR"/>
        </w:rPr>
      </w:pPr>
      <w:r w:rsidRPr="002F010B">
        <w:rPr>
          <w:lang w:val="en-US" w:eastAsia="ko-KR"/>
        </w:rPr>
        <w:t>3</w:t>
      </w:r>
      <w:r w:rsidR="00B072AB">
        <w:rPr>
          <w:lang w:val="en-US" w:eastAsia="ko-KR"/>
        </w:rPr>
        <w:tab/>
      </w:r>
      <w:r w:rsidRPr="002F010B">
        <w:rPr>
          <w:lang w:val="en-US" w:eastAsia="ko-KR"/>
        </w:rPr>
        <w:t xml:space="preserve">Conclusion </w:t>
      </w:r>
    </w:p>
    <w:p w14:paraId="14C3A2CB" w14:textId="77777777" w:rsidR="002F010B" w:rsidRPr="002F010B" w:rsidRDefault="002F010B" w:rsidP="002F010B">
      <w:pPr>
        <w:rPr>
          <w:lang w:val="en-US" w:eastAsia="ko-KR"/>
        </w:rPr>
      </w:pPr>
      <w:r w:rsidRPr="002F010B">
        <w:rPr>
          <w:lang w:val="en-US" w:eastAsia="ko-KR"/>
        </w:rPr>
        <w:t>Based on the discussion, we propose the following:</w:t>
      </w:r>
    </w:p>
    <w:p w14:paraId="058C4252" w14:textId="77777777" w:rsidR="00B072AB" w:rsidRDefault="00B072AB" w:rsidP="00B072AB">
      <w:pPr>
        <w:ind w:left="1000" w:hangingChars="500" w:hanging="1000"/>
        <w:rPr>
          <w:b/>
          <w:bCs/>
          <w:lang w:val="en-US" w:eastAsia="ko-KR"/>
        </w:rPr>
      </w:pPr>
      <w:r w:rsidRPr="00544FE7">
        <w:rPr>
          <w:b/>
          <w:bCs/>
          <w:lang w:val="en-US" w:eastAsia="ko-KR"/>
        </w:rPr>
        <w:t xml:space="preserve">Proposal 1: RAN3 should consider SBI as a </w:t>
      </w:r>
      <w:r>
        <w:rPr>
          <w:b/>
          <w:bCs/>
          <w:lang w:val="en-US" w:eastAsia="ko-KR"/>
        </w:rPr>
        <w:t>key</w:t>
      </w:r>
      <w:r w:rsidRPr="00544FE7">
        <w:rPr>
          <w:b/>
          <w:bCs/>
          <w:lang w:val="en-US" w:eastAsia="ko-KR"/>
        </w:rPr>
        <w:t xml:space="preserve"> enabler for 6G RAN-CN interface to support flexible interaction with evolved CN functions (e.g., AI/ML, Sensing) and compatibility with cloud-native deployments.</w:t>
      </w:r>
    </w:p>
    <w:p w14:paraId="4D98A8A0" w14:textId="77777777" w:rsidR="00B072AB" w:rsidRPr="009D6C35" w:rsidRDefault="00B072AB" w:rsidP="00B072AB">
      <w:pPr>
        <w:ind w:left="1000" w:hangingChars="500" w:hanging="1000"/>
        <w:rPr>
          <w:b/>
          <w:bCs/>
          <w:lang w:val="en-US" w:eastAsia="ko-KR"/>
        </w:rPr>
      </w:pPr>
      <w:r w:rsidRPr="009D6C35">
        <w:rPr>
          <w:b/>
          <w:bCs/>
          <w:lang w:val="en-US" w:eastAsia="ko-KR"/>
        </w:rPr>
        <w:t>Proposal 2: To ensure SBI meets RAN performance requirements, RAN3 should study transport layer optimizations (e.g., adaptation to scheduling delays, optimized start-up behavior) for the underlying protocols (e.g., TCP, QUIC).</w:t>
      </w:r>
    </w:p>
    <w:p w14:paraId="7509E3B8" w14:textId="4FF5034B" w:rsidR="002F010B" w:rsidRDefault="002F010B" w:rsidP="002F010B">
      <w:pPr>
        <w:rPr>
          <w:lang w:val="en-US" w:eastAsia="ko-KR"/>
        </w:rPr>
      </w:pPr>
    </w:p>
    <w:p w14:paraId="17983EFD" w14:textId="4F7D7A9F" w:rsidR="00B072AB" w:rsidRPr="00B072AB" w:rsidRDefault="00B072AB" w:rsidP="00B072AB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 w:eastAsia="ko-KR"/>
        </w:rPr>
        <w:tab/>
        <w:t>Reference</w:t>
      </w:r>
    </w:p>
    <w:p w14:paraId="376F21FC" w14:textId="3BE4ADE8" w:rsidR="001E41F3" w:rsidRDefault="00B072AB" w:rsidP="00B072AB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0637">
        <w:rPr>
          <w:lang w:eastAsia="ko-KR"/>
        </w:rPr>
        <w:t>(draft) RAN3 #130 Meeting Report</w:t>
      </w:r>
    </w:p>
    <w:sectPr w:rsidR="001E41F3" w:rsidSect="00E309B3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7888F" w14:textId="77777777" w:rsidR="00691CA2" w:rsidRDefault="00691CA2">
      <w:r>
        <w:separator/>
      </w:r>
    </w:p>
  </w:endnote>
  <w:endnote w:type="continuationSeparator" w:id="0">
    <w:p w14:paraId="2DC10122" w14:textId="77777777" w:rsidR="00691CA2" w:rsidRDefault="0069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5463" w14:textId="77777777" w:rsidR="00691CA2" w:rsidRDefault="00691CA2">
      <w:r>
        <w:separator/>
      </w:r>
    </w:p>
  </w:footnote>
  <w:footnote w:type="continuationSeparator" w:id="0">
    <w:p w14:paraId="6C80112B" w14:textId="77777777" w:rsidR="00691CA2" w:rsidRDefault="0069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A145A"/>
    <w:multiLevelType w:val="hybridMultilevel"/>
    <w:tmpl w:val="B2F05318"/>
    <w:lvl w:ilvl="0" w:tplc="6C963F5A">
      <w:numFmt w:val="bullet"/>
      <w:lvlText w:val="•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417999"/>
    <w:multiLevelType w:val="hybridMultilevel"/>
    <w:tmpl w:val="7974BA5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519603F"/>
    <w:multiLevelType w:val="hybridMultilevel"/>
    <w:tmpl w:val="5C0C9F2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11A6198"/>
    <w:multiLevelType w:val="hybridMultilevel"/>
    <w:tmpl w:val="9E1AF21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193302"/>
    <w:multiLevelType w:val="hybridMultilevel"/>
    <w:tmpl w:val="100AB60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E1061EF"/>
    <w:multiLevelType w:val="hybridMultilevel"/>
    <w:tmpl w:val="49AA5A3A"/>
    <w:lvl w:ilvl="0" w:tplc="DE52A458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4304709"/>
    <w:multiLevelType w:val="hybridMultilevel"/>
    <w:tmpl w:val="C59A593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1"/>
  </w:num>
  <w:num w:numId="13" w16cid:durableId="243031597">
    <w:abstractNumId w:val="17"/>
  </w:num>
  <w:num w:numId="14" w16cid:durableId="104664653">
    <w:abstractNumId w:val="16"/>
  </w:num>
  <w:num w:numId="15" w16cid:durableId="802845115">
    <w:abstractNumId w:val="18"/>
  </w:num>
  <w:num w:numId="16" w16cid:durableId="1248996847">
    <w:abstractNumId w:val="20"/>
  </w:num>
  <w:num w:numId="17" w16cid:durableId="130681807">
    <w:abstractNumId w:val="13"/>
  </w:num>
  <w:num w:numId="18" w16cid:durableId="1606691279">
    <w:abstractNumId w:val="10"/>
  </w:num>
  <w:num w:numId="19" w16cid:durableId="181362107">
    <w:abstractNumId w:val="12"/>
  </w:num>
  <w:num w:numId="20" w16cid:durableId="1350176152">
    <w:abstractNumId w:val="14"/>
  </w:num>
  <w:num w:numId="21" w16cid:durableId="336813311">
    <w:abstractNumId w:val="19"/>
  </w:num>
  <w:num w:numId="22" w16cid:durableId="11981292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6A49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2161"/>
    <w:rsid w:val="001A7B60"/>
    <w:rsid w:val="001B6CDC"/>
    <w:rsid w:val="001B7A65"/>
    <w:rsid w:val="001D2CB8"/>
    <w:rsid w:val="001E41F3"/>
    <w:rsid w:val="001E48D4"/>
    <w:rsid w:val="002218D6"/>
    <w:rsid w:val="00226614"/>
    <w:rsid w:val="0026004D"/>
    <w:rsid w:val="00262C39"/>
    <w:rsid w:val="002636A7"/>
    <w:rsid w:val="00274611"/>
    <w:rsid w:val="0027588B"/>
    <w:rsid w:val="00275D12"/>
    <w:rsid w:val="002769EB"/>
    <w:rsid w:val="002778CB"/>
    <w:rsid w:val="002860C4"/>
    <w:rsid w:val="002A3379"/>
    <w:rsid w:val="002A37C8"/>
    <w:rsid w:val="002A47EF"/>
    <w:rsid w:val="002B23F9"/>
    <w:rsid w:val="002B24C6"/>
    <w:rsid w:val="002B5741"/>
    <w:rsid w:val="002B5B7A"/>
    <w:rsid w:val="002C238A"/>
    <w:rsid w:val="002E595A"/>
    <w:rsid w:val="002F010B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3F6351"/>
    <w:rsid w:val="0040623E"/>
    <w:rsid w:val="004165D0"/>
    <w:rsid w:val="0042373F"/>
    <w:rsid w:val="004242F1"/>
    <w:rsid w:val="00433F13"/>
    <w:rsid w:val="00447131"/>
    <w:rsid w:val="00465F0A"/>
    <w:rsid w:val="00467657"/>
    <w:rsid w:val="00477480"/>
    <w:rsid w:val="00477891"/>
    <w:rsid w:val="004839DB"/>
    <w:rsid w:val="004865D4"/>
    <w:rsid w:val="004A1950"/>
    <w:rsid w:val="004A20E3"/>
    <w:rsid w:val="004A780D"/>
    <w:rsid w:val="004B75B7"/>
    <w:rsid w:val="004D23E2"/>
    <w:rsid w:val="004F242B"/>
    <w:rsid w:val="00501900"/>
    <w:rsid w:val="0050584B"/>
    <w:rsid w:val="005124D6"/>
    <w:rsid w:val="005143C7"/>
    <w:rsid w:val="0051580D"/>
    <w:rsid w:val="00520062"/>
    <w:rsid w:val="00540E46"/>
    <w:rsid w:val="00544FE7"/>
    <w:rsid w:val="00564BDC"/>
    <w:rsid w:val="00592D74"/>
    <w:rsid w:val="00592FB9"/>
    <w:rsid w:val="005A4297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CA2"/>
    <w:rsid w:val="00695808"/>
    <w:rsid w:val="00697F81"/>
    <w:rsid w:val="006A5614"/>
    <w:rsid w:val="006B46FB"/>
    <w:rsid w:val="006D56BC"/>
    <w:rsid w:val="006E21FB"/>
    <w:rsid w:val="006E74F4"/>
    <w:rsid w:val="0070019F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17B2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282C"/>
    <w:rsid w:val="00845D17"/>
    <w:rsid w:val="008579E4"/>
    <w:rsid w:val="008626E7"/>
    <w:rsid w:val="00870EE7"/>
    <w:rsid w:val="008A3BED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014E"/>
    <w:rsid w:val="009824D9"/>
    <w:rsid w:val="00991B88"/>
    <w:rsid w:val="00995252"/>
    <w:rsid w:val="00996397"/>
    <w:rsid w:val="009A1081"/>
    <w:rsid w:val="009A579D"/>
    <w:rsid w:val="009D6C35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A062A"/>
    <w:rsid w:val="00AB00C3"/>
    <w:rsid w:val="00AB1244"/>
    <w:rsid w:val="00AD1CD8"/>
    <w:rsid w:val="00AE5A38"/>
    <w:rsid w:val="00AE6E2C"/>
    <w:rsid w:val="00AF43A8"/>
    <w:rsid w:val="00B0502B"/>
    <w:rsid w:val="00B072A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48C6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13CC"/>
    <w:rsid w:val="00D35F6F"/>
    <w:rsid w:val="00D4764C"/>
    <w:rsid w:val="00D47BC4"/>
    <w:rsid w:val="00D608C3"/>
    <w:rsid w:val="00D63018"/>
    <w:rsid w:val="00D95B9C"/>
    <w:rsid w:val="00D96016"/>
    <w:rsid w:val="00DB66FE"/>
    <w:rsid w:val="00DB7E55"/>
    <w:rsid w:val="00DC7EFB"/>
    <w:rsid w:val="00DD5724"/>
    <w:rsid w:val="00DE34CF"/>
    <w:rsid w:val="00DE6E1D"/>
    <w:rsid w:val="00DF7744"/>
    <w:rsid w:val="00E02866"/>
    <w:rsid w:val="00E15BA1"/>
    <w:rsid w:val="00E2277E"/>
    <w:rsid w:val="00E27E18"/>
    <w:rsid w:val="00E309B3"/>
    <w:rsid w:val="00E567B5"/>
    <w:rsid w:val="00E618CA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85FCD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머리글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제목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풍선 도움말 텍스트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제목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제목 6 Char"/>
    <w:link w:val="6"/>
    <w:rsid w:val="00520062"/>
    <w:rPr>
      <w:rFonts w:ascii="Arial" w:hAnsi="Arial"/>
      <w:lang w:val="en-GB"/>
    </w:rPr>
  </w:style>
  <w:style w:type="character" w:customStyle="1" w:styleId="Char1">
    <w:name w:val="바닥글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3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각주 텍스트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메모 텍스트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메모 주제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문서 구조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4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2F010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108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120</vt:lpstr>
    </vt:vector>
  </TitlesOfParts>
  <Company>3GPP Support Team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Hongchan-Kim</cp:lastModifiedBy>
  <cp:revision>31</cp:revision>
  <cp:lastPrinted>1899-12-31T22:58:08Z</cp:lastPrinted>
  <dcterms:created xsi:type="dcterms:W3CDTF">2023-05-25T08:03:00Z</dcterms:created>
  <dcterms:modified xsi:type="dcterms:W3CDTF">2026-01-28T06:13:00Z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3f495571-8933-46f6-a3c0-7aa71bc676e7</vt:lpwstr>
  </property>
</Properties>
</file>